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993"/>
          <w:tab w:val="left" w:pos="1134"/>
          <w:tab w:val="left" w:pos="1418"/>
        </w:tabs>
        <w:spacing w:line="600" w:lineRule="exact"/>
        <w:jc w:val="center"/>
        <w:rPr>
          <w:rFonts w:ascii="方正小标宋_GBK" w:hAnsi="方正小标宋_GBK" w:eastAsia="方正小标宋_GBK" w:cs="方正小标宋_GBK"/>
          <w:sz w:val="32"/>
          <w:szCs w:val="32"/>
        </w:rPr>
      </w:pPr>
      <w:r>
        <w:rPr>
          <w:rFonts w:hint="eastAsia" w:ascii="方正小标宋_GBK" w:hAnsi="方正小标宋_GBK" w:eastAsia="方正小标宋_GBK" w:cs="方正小标宋_GBK"/>
          <w:sz w:val="32"/>
          <w:szCs w:val="32"/>
          <w:u w:val="single"/>
        </w:rPr>
        <w:t>厦门大学附属第一医院</w:t>
      </w:r>
      <w:r>
        <w:rPr>
          <w:rFonts w:hint="eastAsia" w:ascii="方正小标宋_GBK" w:hAnsi="方正小标宋_GBK" w:eastAsia="方正小标宋_GBK" w:cs="方正小标宋_GBK"/>
          <w:sz w:val="32"/>
          <w:szCs w:val="32"/>
        </w:rPr>
        <w:t xml:space="preserve"> 2021年4（至）12月</w:t>
      </w:r>
    </w:p>
    <w:p>
      <w:pPr>
        <w:tabs>
          <w:tab w:val="left" w:pos="993"/>
          <w:tab w:val="left" w:pos="1134"/>
          <w:tab w:val="left" w:pos="1418"/>
        </w:tabs>
        <w:spacing w:line="600" w:lineRule="exact"/>
        <w:jc w:val="center"/>
        <w:rPr>
          <w:rFonts w:ascii="仿宋_GB2312" w:hAnsi="仿宋_GB2312" w:eastAsia="仿宋_GB2312" w:cs="仿宋_GB2312"/>
          <w:sz w:val="32"/>
          <w:szCs w:val="32"/>
        </w:rPr>
      </w:pPr>
      <w:r>
        <w:rPr>
          <w:rFonts w:hint="eastAsia" w:ascii="方正小标宋_GBK" w:hAnsi="方正小标宋_GBK" w:eastAsia="方正小标宋_GBK" w:cs="方正小标宋_GBK"/>
          <w:sz w:val="32"/>
          <w:szCs w:val="32"/>
        </w:rPr>
        <w:t>政府采购意向</w:t>
      </w:r>
    </w:p>
    <w:p>
      <w:pPr>
        <w:tabs>
          <w:tab w:val="left" w:pos="993"/>
          <w:tab w:val="left" w:pos="1134"/>
          <w:tab w:val="left" w:pos="1418"/>
        </w:tabs>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为便于供应商及时了解政府采购信息，根据《财政部关于开展政府采购意向公开工作的通知》（财库〔2020〕10号）等有关规定，现将</w:t>
      </w:r>
      <w:r>
        <w:rPr>
          <w:rFonts w:hint="eastAsia" w:ascii="仿宋_GB2312" w:hAnsi="仿宋_GB2312" w:eastAsia="仿宋_GB2312" w:cs="仿宋_GB2312"/>
          <w:sz w:val="32"/>
          <w:szCs w:val="32"/>
          <w:u w:val="single"/>
        </w:rPr>
        <w:t>厦门大学附属第一医院</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u w:val="single"/>
        </w:rPr>
        <w:t xml:space="preserve"> 2021</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xml:space="preserve"> 4 </w:t>
      </w:r>
      <w:r>
        <w:rPr>
          <w:rFonts w:hint="eastAsia" w:ascii="仿宋_GB2312" w:hAnsi="仿宋_GB2312" w:eastAsia="仿宋_GB2312" w:cs="仿宋_GB2312"/>
          <w:sz w:val="32"/>
          <w:szCs w:val="32"/>
        </w:rPr>
        <w:t>（至）</w:t>
      </w:r>
      <w:r>
        <w:rPr>
          <w:rFonts w:hint="eastAsia" w:ascii="仿宋_GB2312" w:hAnsi="仿宋_GB2312" w:eastAsia="仿宋_GB2312" w:cs="仿宋_GB2312"/>
          <w:sz w:val="32"/>
          <w:szCs w:val="32"/>
          <w:u w:val="single"/>
        </w:rPr>
        <w:t xml:space="preserve">   12</w:t>
      </w:r>
      <w:r>
        <w:rPr>
          <w:rFonts w:hint="eastAsia" w:ascii="仿宋_GB2312" w:hAnsi="仿宋_GB2312" w:eastAsia="仿宋_GB2312" w:cs="仿宋_GB2312"/>
          <w:sz w:val="32"/>
          <w:szCs w:val="32"/>
        </w:rPr>
        <w:t>月采购意向公开如下：</w:t>
      </w:r>
    </w:p>
    <w:p>
      <w:pPr>
        <w:tabs>
          <w:tab w:val="left" w:pos="993"/>
          <w:tab w:val="left" w:pos="1134"/>
          <w:tab w:val="left" w:pos="1418"/>
        </w:tabs>
        <w:spacing w:line="600" w:lineRule="exact"/>
        <w:ind w:firstLine="640" w:firstLineChars="200"/>
        <w:rPr>
          <w:rFonts w:ascii="仿宋_GB2312" w:hAnsi="仿宋_GB2312" w:eastAsia="仿宋_GB2312" w:cs="仿宋_GB2312"/>
          <w:sz w:val="32"/>
          <w:szCs w:val="32"/>
        </w:rPr>
      </w:pPr>
    </w:p>
    <w:tbl>
      <w:tblPr>
        <w:tblStyle w:val="7"/>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4"/>
        <w:gridCol w:w="1275"/>
        <w:gridCol w:w="2694"/>
        <w:gridCol w:w="1559"/>
        <w:gridCol w:w="1701"/>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34" w:type="dxa"/>
            <w:vAlign w:val="center"/>
          </w:tcPr>
          <w:p>
            <w:pPr>
              <w:tabs>
                <w:tab w:val="left" w:pos="993"/>
                <w:tab w:val="left" w:pos="1134"/>
                <w:tab w:val="left" w:pos="1418"/>
              </w:tabs>
              <w:spacing w:line="440" w:lineRule="exact"/>
              <w:jc w:val="center"/>
              <w:rPr>
                <w:rFonts w:cs="仿宋_GB2312" w:asciiTheme="majorEastAsia" w:hAnsiTheme="majorEastAsia" w:eastAsiaTheme="majorEastAsia"/>
                <w:b/>
                <w:bCs/>
                <w:sz w:val="24"/>
                <w:szCs w:val="32"/>
              </w:rPr>
            </w:pPr>
            <w:r>
              <w:rPr>
                <w:rFonts w:hint="eastAsia" w:cs="仿宋_GB2312" w:asciiTheme="majorEastAsia" w:hAnsiTheme="majorEastAsia" w:eastAsiaTheme="majorEastAsia"/>
                <w:b/>
                <w:bCs/>
                <w:sz w:val="24"/>
                <w:szCs w:val="32"/>
              </w:rPr>
              <w:t>序号</w:t>
            </w:r>
          </w:p>
        </w:tc>
        <w:tc>
          <w:tcPr>
            <w:tcW w:w="1275" w:type="dxa"/>
            <w:vAlign w:val="center"/>
          </w:tcPr>
          <w:p>
            <w:pPr>
              <w:tabs>
                <w:tab w:val="left" w:pos="993"/>
                <w:tab w:val="left" w:pos="1134"/>
                <w:tab w:val="left" w:pos="1418"/>
              </w:tabs>
              <w:spacing w:line="440" w:lineRule="exact"/>
              <w:jc w:val="center"/>
              <w:rPr>
                <w:rFonts w:cs="仿宋_GB2312" w:asciiTheme="majorEastAsia" w:hAnsiTheme="majorEastAsia" w:eastAsiaTheme="majorEastAsia"/>
                <w:b/>
                <w:bCs/>
                <w:sz w:val="24"/>
                <w:szCs w:val="32"/>
              </w:rPr>
            </w:pPr>
            <w:r>
              <w:rPr>
                <w:rFonts w:hint="eastAsia" w:cs="仿宋_GB2312" w:asciiTheme="majorEastAsia" w:hAnsiTheme="majorEastAsia" w:eastAsiaTheme="majorEastAsia"/>
                <w:b/>
                <w:bCs/>
                <w:sz w:val="24"/>
                <w:szCs w:val="32"/>
              </w:rPr>
              <w:t>采购项目</w:t>
            </w:r>
          </w:p>
          <w:p>
            <w:pPr>
              <w:tabs>
                <w:tab w:val="left" w:pos="993"/>
                <w:tab w:val="left" w:pos="1134"/>
                <w:tab w:val="left" w:pos="1418"/>
              </w:tabs>
              <w:spacing w:line="440" w:lineRule="exact"/>
              <w:jc w:val="center"/>
              <w:rPr>
                <w:rFonts w:cs="仿宋_GB2312" w:asciiTheme="majorEastAsia" w:hAnsiTheme="majorEastAsia" w:eastAsiaTheme="majorEastAsia"/>
                <w:b/>
                <w:bCs/>
                <w:sz w:val="24"/>
                <w:szCs w:val="32"/>
              </w:rPr>
            </w:pPr>
            <w:r>
              <w:rPr>
                <w:rFonts w:hint="eastAsia" w:cs="仿宋_GB2312" w:asciiTheme="majorEastAsia" w:hAnsiTheme="majorEastAsia" w:eastAsiaTheme="majorEastAsia"/>
                <w:b/>
                <w:bCs/>
                <w:sz w:val="24"/>
                <w:szCs w:val="32"/>
              </w:rPr>
              <w:t>名称</w:t>
            </w:r>
          </w:p>
        </w:tc>
        <w:tc>
          <w:tcPr>
            <w:tcW w:w="2694" w:type="dxa"/>
            <w:vAlign w:val="center"/>
          </w:tcPr>
          <w:p>
            <w:pPr>
              <w:tabs>
                <w:tab w:val="left" w:pos="993"/>
                <w:tab w:val="left" w:pos="1134"/>
                <w:tab w:val="left" w:pos="1418"/>
              </w:tabs>
              <w:spacing w:line="440" w:lineRule="exact"/>
              <w:jc w:val="center"/>
              <w:rPr>
                <w:rFonts w:cs="仿宋_GB2312" w:asciiTheme="majorEastAsia" w:hAnsiTheme="majorEastAsia" w:eastAsiaTheme="majorEastAsia"/>
                <w:b/>
                <w:bCs/>
                <w:sz w:val="24"/>
                <w:szCs w:val="32"/>
              </w:rPr>
            </w:pPr>
            <w:r>
              <w:rPr>
                <w:rFonts w:hint="eastAsia" w:cs="仿宋_GB2312" w:asciiTheme="majorEastAsia" w:hAnsiTheme="majorEastAsia" w:eastAsiaTheme="majorEastAsia"/>
                <w:b/>
                <w:bCs/>
                <w:sz w:val="24"/>
                <w:szCs w:val="32"/>
              </w:rPr>
              <w:t>采购需求概况</w:t>
            </w:r>
          </w:p>
        </w:tc>
        <w:tc>
          <w:tcPr>
            <w:tcW w:w="1559" w:type="dxa"/>
            <w:vAlign w:val="center"/>
          </w:tcPr>
          <w:p>
            <w:pPr>
              <w:tabs>
                <w:tab w:val="left" w:pos="993"/>
                <w:tab w:val="left" w:pos="1134"/>
                <w:tab w:val="left" w:pos="1418"/>
              </w:tabs>
              <w:spacing w:line="440" w:lineRule="exact"/>
              <w:jc w:val="center"/>
              <w:rPr>
                <w:rFonts w:cs="仿宋_GB2312" w:asciiTheme="majorEastAsia" w:hAnsiTheme="majorEastAsia" w:eastAsiaTheme="majorEastAsia"/>
                <w:b/>
                <w:bCs/>
                <w:sz w:val="24"/>
                <w:szCs w:val="32"/>
              </w:rPr>
            </w:pPr>
            <w:r>
              <w:rPr>
                <w:rFonts w:hint="eastAsia" w:cs="仿宋_GB2312" w:asciiTheme="majorEastAsia" w:hAnsiTheme="majorEastAsia" w:eastAsiaTheme="majorEastAsia"/>
                <w:b/>
                <w:bCs/>
                <w:sz w:val="24"/>
                <w:szCs w:val="32"/>
              </w:rPr>
              <w:t>预算金额</w:t>
            </w:r>
          </w:p>
          <w:p>
            <w:pPr>
              <w:tabs>
                <w:tab w:val="left" w:pos="993"/>
                <w:tab w:val="left" w:pos="1134"/>
                <w:tab w:val="left" w:pos="1418"/>
              </w:tabs>
              <w:spacing w:line="440" w:lineRule="exact"/>
              <w:jc w:val="center"/>
              <w:rPr>
                <w:rFonts w:cs="仿宋_GB2312" w:asciiTheme="majorEastAsia" w:hAnsiTheme="majorEastAsia" w:eastAsiaTheme="majorEastAsia"/>
                <w:b/>
                <w:bCs/>
                <w:sz w:val="24"/>
                <w:szCs w:val="32"/>
              </w:rPr>
            </w:pPr>
            <w:r>
              <w:rPr>
                <w:rFonts w:hint="eastAsia" w:cs="仿宋_GB2312" w:asciiTheme="majorEastAsia" w:hAnsiTheme="majorEastAsia" w:eastAsiaTheme="majorEastAsia"/>
                <w:b/>
                <w:bCs/>
                <w:sz w:val="24"/>
                <w:szCs w:val="32"/>
              </w:rPr>
              <w:t>（万元）</w:t>
            </w:r>
          </w:p>
        </w:tc>
        <w:tc>
          <w:tcPr>
            <w:tcW w:w="1701" w:type="dxa"/>
            <w:vAlign w:val="center"/>
          </w:tcPr>
          <w:p>
            <w:pPr>
              <w:tabs>
                <w:tab w:val="left" w:pos="993"/>
                <w:tab w:val="left" w:pos="1134"/>
                <w:tab w:val="left" w:pos="1418"/>
              </w:tabs>
              <w:spacing w:line="440" w:lineRule="exact"/>
              <w:jc w:val="center"/>
              <w:rPr>
                <w:rFonts w:cs="仿宋_GB2312" w:asciiTheme="majorEastAsia" w:hAnsiTheme="majorEastAsia" w:eastAsiaTheme="majorEastAsia"/>
                <w:b/>
                <w:bCs/>
                <w:sz w:val="24"/>
                <w:szCs w:val="32"/>
              </w:rPr>
            </w:pPr>
            <w:r>
              <w:rPr>
                <w:rFonts w:hint="eastAsia" w:cs="仿宋_GB2312" w:asciiTheme="majorEastAsia" w:hAnsiTheme="majorEastAsia" w:eastAsiaTheme="majorEastAsia"/>
                <w:b/>
                <w:bCs/>
                <w:sz w:val="24"/>
                <w:szCs w:val="32"/>
              </w:rPr>
              <w:t>预计采购时间</w:t>
            </w:r>
          </w:p>
          <w:p>
            <w:pPr>
              <w:tabs>
                <w:tab w:val="left" w:pos="993"/>
                <w:tab w:val="left" w:pos="1134"/>
                <w:tab w:val="left" w:pos="1418"/>
              </w:tabs>
              <w:spacing w:line="440" w:lineRule="exact"/>
              <w:jc w:val="center"/>
              <w:rPr>
                <w:rFonts w:cs="仿宋_GB2312" w:asciiTheme="majorEastAsia" w:hAnsiTheme="majorEastAsia" w:eastAsiaTheme="majorEastAsia"/>
                <w:b/>
                <w:bCs/>
                <w:sz w:val="24"/>
                <w:szCs w:val="32"/>
              </w:rPr>
            </w:pPr>
            <w:r>
              <w:rPr>
                <w:rFonts w:hint="eastAsia" w:cs="仿宋_GB2312" w:asciiTheme="majorEastAsia" w:hAnsiTheme="majorEastAsia" w:eastAsiaTheme="majorEastAsia"/>
                <w:b/>
                <w:bCs/>
                <w:sz w:val="24"/>
                <w:szCs w:val="32"/>
              </w:rPr>
              <w:t>（填写到月）</w:t>
            </w:r>
          </w:p>
        </w:tc>
        <w:tc>
          <w:tcPr>
            <w:tcW w:w="992" w:type="dxa"/>
            <w:vAlign w:val="center"/>
          </w:tcPr>
          <w:p>
            <w:pPr>
              <w:tabs>
                <w:tab w:val="left" w:pos="993"/>
                <w:tab w:val="left" w:pos="1134"/>
                <w:tab w:val="left" w:pos="1418"/>
              </w:tabs>
              <w:spacing w:line="440" w:lineRule="exact"/>
              <w:jc w:val="center"/>
              <w:rPr>
                <w:rFonts w:cs="仿宋_GB2312" w:asciiTheme="majorEastAsia" w:hAnsiTheme="majorEastAsia" w:eastAsiaTheme="majorEastAsia"/>
                <w:b/>
                <w:bCs/>
                <w:sz w:val="24"/>
                <w:szCs w:val="32"/>
              </w:rPr>
            </w:pPr>
            <w:r>
              <w:rPr>
                <w:rFonts w:hint="eastAsia" w:cs="仿宋_GB2312" w:asciiTheme="majorEastAsia" w:hAnsiTheme="majorEastAsia" w:eastAsiaTheme="majorEastAsia"/>
                <w:b/>
                <w:bCs/>
                <w:sz w:val="24"/>
                <w:szCs w:val="3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34" w:type="dxa"/>
            <w:vAlign w:val="center"/>
          </w:tcPr>
          <w:p>
            <w:pPr>
              <w:jc w:val="right"/>
              <w:rPr>
                <w:rFonts w:ascii="仿宋" w:hAnsi="仿宋" w:eastAsia="仿宋" w:cs="宋体"/>
                <w:color w:val="000000"/>
                <w:sz w:val="18"/>
                <w:szCs w:val="18"/>
              </w:rPr>
            </w:pPr>
            <w:r>
              <w:rPr>
                <w:rFonts w:hint="eastAsia" w:ascii="仿宋" w:hAnsi="仿宋" w:eastAsia="仿宋"/>
                <w:color w:val="000000"/>
                <w:sz w:val="18"/>
                <w:szCs w:val="18"/>
              </w:rPr>
              <w:t>1</w:t>
            </w:r>
          </w:p>
        </w:tc>
        <w:tc>
          <w:tcPr>
            <w:tcW w:w="1275" w:type="dxa"/>
            <w:vAlign w:val="center"/>
          </w:tcPr>
          <w:p>
            <w:pPr>
              <w:rPr>
                <w:rFonts w:ascii="仿宋" w:hAnsi="仿宋" w:eastAsia="仿宋" w:cs="宋体"/>
                <w:sz w:val="18"/>
                <w:szCs w:val="18"/>
              </w:rPr>
            </w:pPr>
            <w:r>
              <w:rPr>
                <w:rFonts w:hint="eastAsia" w:ascii="仿宋" w:hAnsi="仿宋" w:eastAsia="仿宋"/>
                <w:sz w:val="18"/>
                <w:szCs w:val="18"/>
              </w:rPr>
              <w:t>同质化管理-供应链和预约信息系统功能拓展采购项目</w:t>
            </w:r>
          </w:p>
        </w:tc>
        <w:tc>
          <w:tcPr>
            <w:tcW w:w="2694" w:type="dxa"/>
            <w:vAlign w:val="center"/>
          </w:tcPr>
          <w:p>
            <w:pPr>
              <w:rPr>
                <w:rFonts w:ascii="仿宋" w:hAnsi="仿宋" w:eastAsia="仿宋" w:cs="宋体"/>
                <w:sz w:val="18"/>
                <w:szCs w:val="18"/>
              </w:rPr>
            </w:pPr>
            <w:r>
              <w:rPr>
                <w:rFonts w:hint="eastAsia" w:ascii="仿宋" w:hAnsi="仿宋" w:eastAsia="仿宋" w:cs="宋体"/>
                <w:sz w:val="18"/>
                <w:szCs w:val="18"/>
              </w:rPr>
              <w:t>基于三家院内内各医疗机构信息化建设同质化管理需求，总院的部分系统可以根据总分院共用模式进行拓展，实现统一的供应链管理、预约管理，提升资源利用率和降低建设成本。</w:t>
            </w:r>
          </w:p>
        </w:tc>
        <w:tc>
          <w:tcPr>
            <w:tcW w:w="1559" w:type="dxa"/>
            <w:vAlign w:val="center"/>
          </w:tcPr>
          <w:p>
            <w:pPr>
              <w:jc w:val="right"/>
              <w:rPr>
                <w:rFonts w:ascii="仿宋" w:hAnsi="仿宋" w:eastAsia="仿宋" w:cs="宋体"/>
                <w:sz w:val="18"/>
                <w:szCs w:val="18"/>
              </w:rPr>
            </w:pPr>
            <w:r>
              <w:rPr>
                <w:rFonts w:hint="eastAsia" w:ascii="仿宋" w:hAnsi="仿宋" w:eastAsia="仿宋"/>
                <w:sz w:val="18"/>
                <w:szCs w:val="18"/>
              </w:rPr>
              <w:t xml:space="preserve">184 </w:t>
            </w:r>
          </w:p>
        </w:tc>
        <w:tc>
          <w:tcPr>
            <w:tcW w:w="1701" w:type="dxa"/>
            <w:vAlign w:val="center"/>
          </w:tcPr>
          <w:p>
            <w:pPr>
              <w:jc w:val="right"/>
              <w:rPr>
                <w:rFonts w:ascii="仿宋" w:hAnsi="仿宋" w:eastAsia="仿宋" w:cs="宋体"/>
                <w:color w:val="000000"/>
                <w:sz w:val="18"/>
                <w:szCs w:val="18"/>
              </w:rPr>
            </w:pPr>
            <w:r>
              <w:rPr>
                <w:rFonts w:hint="eastAsia" w:ascii="仿宋" w:hAnsi="仿宋" w:eastAsia="仿宋"/>
                <w:color w:val="000000"/>
                <w:sz w:val="18"/>
                <w:szCs w:val="18"/>
              </w:rPr>
              <w:t>2021.5</w:t>
            </w:r>
          </w:p>
        </w:tc>
        <w:tc>
          <w:tcPr>
            <w:tcW w:w="992"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行业应用软件开发服务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34" w:type="dxa"/>
            <w:vAlign w:val="center"/>
          </w:tcPr>
          <w:p>
            <w:pPr>
              <w:jc w:val="right"/>
              <w:rPr>
                <w:rFonts w:ascii="仿宋" w:hAnsi="仿宋" w:eastAsia="仿宋" w:cs="宋体"/>
                <w:color w:val="000000"/>
                <w:sz w:val="18"/>
                <w:szCs w:val="18"/>
              </w:rPr>
            </w:pPr>
            <w:r>
              <w:rPr>
                <w:rFonts w:hint="eastAsia" w:ascii="仿宋" w:hAnsi="仿宋" w:eastAsia="仿宋"/>
                <w:color w:val="000000"/>
                <w:sz w:val="18"/>
                <w:szCs w:val="18"/>
              </w:rPr>
              <w:t>2</w:t>
            </w:r>
          </w:p>
        </w:tc>
        <w:tc>
          <w:tcPr>
            <w:tcW w:w="1275" w:type="dxa"/>
            <w:vAlign w:val="center"/>
          </w:tcPr>
          <w:p>
            <w:pPr>
              <w:rPr>
                <w:rFonts w:ascii="仿宋" w:hAnsi="仿宋" w:eastAsia="仿宋" w:cs="宋体"/>
                <w:sz w:val="18"/>
                <w:szCs w:val="18"/>
              </w:rPr>
            </w:pPr>
            <w:r>
              <w:rPr>
                <w:rFonts w:hint="eastAsia" w:ascii="仿宋" w:hAnsi="仿宋" w:eastAsia="仿宋"/>
                <w:sz w:val="18"/>
                <w:szCs w:val="18"/>
              </w:rPr>
              <w:t>医联体转诊协同拓展项目</w:t>
            </w:r>
          </w:p>
        </w:tc>
        <w:tc>
          <w:tcPr>
            <w:tcW w:w="2694" w:type="dxa"/>
            <w:vAlign w:val="center"/>
          </w:tcPr>
          <w:p>
            <w:pPr>
              <w:rPr>
                <w:rFonts w:hint="eastAsia" w:ascii="仿宋" w:hAnsi="仿宋" w:eastAsia="仿宋" w:cs="宋体"/>
                <w:sz w:val="18"/>
                <w:szCs w:val="18"/>
              </w:rPr>
            </w:pPr>
            <w:r>
              <w:rPr>
                <w:rFonts w:hint="eastAsia" w:ascii="仿宋" w:hAnsi="仿宋" w:eastAsia="仿宋" w:cs="宋体"/>
                <w:sz w:val="18"/>
                <w:szCs w:val="18"/>
              </w:rPr>
              <w:t>总院信息系统、分院信息系统统一接入医联体转诊协同拓展项目，建立主数据管理、全院一卡通管理、转诊协同、报告调阅等，实现集团医院内医疗健康信息的共享、集团医院内业务联动。</w:t>
            </w:r>
          </w:p>
          <w:p>
            <w:pPr>
              <w:rPr>
                <w:rFonts w:ascii="仿宋" w:hAnsi="仿宋" w:eastAsia="仿宋" w:cs="宋体"/>
                <w:sz w:val="18"/>
                <w:szCs w:val="18"/>
              </w:rPr>
            </w:pPr>
            <w:r>
              <w:rPr>
                <w:rFonts w:hint="eastAsia" w:ascii="仿宋" w:hAnsi="仿宋" w:eastAsia="仿宋" w:cs="宋体"/>
                <w:sz w:val="18"/>
                <w:szCs w:val="18"/>
              </w:rPr>
              <w:t>同时，实现协同业务监管，通过转诊情况、就诊流向、预留门诊号情况、报告调阅情况分析等监管指标，实现对业务协同的建设情况及实施效果的综合评定，促进分级诊疗的快速、正确推进起到关键性作用。</w:t>
            </w:r>
          </w:p>
        </w:tc>
        <w:tc>
          <w:tcPr>
            <w:tcW w:w="1559" w:type="dxa"/>
            <w:vAlign w:val="center"/>
          </w:tcPr>
          <w:p>
            <w:pPr>
              <w:jc w:val="right"/>
              <w:rPr>
                <w:rFonts w:ascii="仿宋" w:hAnsi="仿宋" w:eastAsia="仿宋" w:cs="宋体"/>
                <w:sz w:val="18"/>
                <w:szCs w:val="18"/>
              </w:rPr>
            </w:pPr>
            <w:r>
              <w:rPr>
                <w:rFonts w:hint="eastAsia" w:ascii="仿宋" w:hAnsi="仿宋" w:eastAsia="仿宋"/>
                <w:sz w:val="18"/>
                <w:szCs w:val="18"/>
              </w:rPr>
              <w:t xml:space="preserve">155 </w:t>
            </w:r>
          </w:p>
        </w:tc>
        <w:tc>
          <w:tcPr>
            <w:tcW w:w="1701" w:type="dxa"/>
            <w:vAlign w:val="center"/>
          </w:tcPr>
          <w:p>
            <w:pPr>
              <w:jc w:val="right"/>
              <w:rPr>
                <w:rFonts w:ascii="仿宋" w:hAnsi="仿宋" w:eastAsia="仿宋" w:cs="宋体"/>
                <w:color w:val="000000"/>
                <w:sz w:val="18"/>
                <w:szCs w:val="18"/>
              </w:rPr>
            </w:pPr>
            <w:r>
              <w:rPr>
                <w:rFonts w:hint="eastAsia" w:ascii="仿宋" w:hAnsi="仿宋" w:eastAsia="仿宋"/>
                <w:color w:val="000000"/>
                <w:sz w:val="18"/>
                <w:szCs w:val="18"/>
              </w:rPr>
              <w:t>2021.5</w:t>
            </w:r>
          </w:p>
        </w:tc>
        <w:tc>
          <w:tcPr>
            <w:tcW w:w="992"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行业应用软件开发服务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34" w:type="dxa"/>
            <w:vAlign w:val="center"/>
          </w:tcPr>
          <w:p>
            <w:pPr>
              <w:jc w:val="right"/>
              <w:rPr>
                <w:rFonts w:ascii="仿宋" w:hAnsi="仿宋" w:eastAsia="仿宋" w:cs="宋体"/>
                <w:color w:val="000000"/>
                <w:sz w:val="18"/>
                <w:szCs w:val="18"/>
              </w:rPr>
            </w:pPr>
            <w:r>
              <w:rPr>
                <w:rFonts w:hint="eastAsia" w:ascii="仿宋" w:hAnsi="仿宋" w:eastAsia="仿宋"/>
                <w:color w:val="000000"/>
                <w:sz w:val="18"/>
                <w:szCs w:val="18"/>
              </w:rPr>
              <w:t>3</w:t>
            </w:r>
          </w:p>
        </w:tc>
        <w:tc>
          <w:tcPr>
            <w:tcW w:w="1275" w:type="dxa"/>
            <w:vAlign w:val="center"/>
          </w:tcPr>
          <w:p>
            <w:pPr>
              <w:rPr>
                <w:rFonts w:ascii="仿宋" w:hAnsi="仿宋" w:eastAsia="仿宋" w:cs="宋体"/>
                <w:sz w:val="18"/>
                <w:szCs w:val="18"/>
              </w:rPr>
            </w:pPr>
            <w:r>
              <w:rPr>
                <w:rFonts w:hint="eastAsia" w:ascii="仿宋" w:hAnsi="仿宋" w:eastAsia="仿宋"/>
                <w:sz w:val="18"/>
                <w:szCs w:val="18"/>
              </w:rPr>
              <w:t>药房和日间手术临床信息系统功能拓展采购项目</w:t>
            </w:r>
          </w:p>
        </w:tc>
        <w:tc>
          <w:tcPr>
            <w:tcW w:w="2694" w:type="dxa"/>
            <w:vAlign w:val="center"/>
          </w:tcPr>
          <w:p>
            <w:pPr>
              <w:rPr>
                <w:rFonts w:ascii="仿宋" w:hAnsi="仿宋" w:eastAsia="仿宋" w:cs="宋体"/>
                <w:sz w:val="18"/>
                <w:szCs w:val="18"/>
              </w:rPr>
            </w:pPr>
            <w:r>
              <w:rPr>
                <w:rFonts w:hint="eastAsia" w:ascii="仿宋" w:hAnsi="仿宋" w:eastAsia="仿宋" w:cs="宋体"/>
                <w:sz w:val="18"/>
                <w:szCs w:val="18"/>
              </w:rPr>
              <w:t>基于目前医院信息化发展趋势和国家的政策要求，结合厦门大学附属第一医院的医院现状，院方希望通过建设高效可控的统一消息资源管理平台覆盖院内全业务范围的消息数据，对消息进行集中管理，控制数据访问权限。院内在不影响现有生产系统消息传输机制的前提下，进行主动+被动的消息采集，存储生产系统产生传递的各类消息，当出现消息传递异常时，主动采集异常转发消息的记录，进行消息补发，保证消息的时效性，保障数据的完整性和及时性。基于管理的需要，药房需要增加预配药功能以及自助机需要对应预配药功能的改造。日间手术在门诊医生工作站、手术中心病房、手术病人医生端、PDA端、危急值和核算等部分的改造。</w:t>
            </w:r>
          </w:p>
        </w:tc>
        <w:tc>
          <w:tcPr>
            <w:tcW w:w="1559" w:type="dxa"/>
            <w:vAlign w:val="center"/>
          </w:tcPr>
          <w:p>
            <w:pPr>
              <w:jc w:val="right"/>
              <w:rPr>
                <w:rFonts w:ascii="仿宋" w:hAnsi="仿宋" w:eastAsia="仿宋" w:cs="宋体"/>
                <w:sz w:val="18"/>
                <w:szCs w:val="18"/>
              </w:rPr>
            </w:pPr>
            <w:r>
              <w:rPr>
                <w:rFonts w:hint="eastAsia" w:ascii="仿宋" w:hAnsi="仿宋" w:eastAsia="仿宋"/>
                <w:sz w:val="18"/>
                <w:szCs w:val="18"/>
              </w:rPr>
              <w:t xml:space="preserve">158 </w:t>
            </w:r>
          </w:p>
        </w:tc>
        <w:tc>
          <w:tcPr>
            <w:tcW w:w="1701" w:type="dxa"/>
            <w:vAlign w:val="center"/>
          </w:tcPr>
          <w:p>
            <w:pPr>
              <w:jc w:val="right"/>
              <w:rPr>
                <w:rFonts w:ascii="仿宋" w:hAnsi="仿宋" w:eastAsia="仿宋" w:cs="宋体"/>
                <w:color w:val="000000"/>
                <w:sz w:val="18"/>
                <w:szCs w:val="18"/>
              </w:rPr>
            </w:pPr>
            <w:r>
              <w:rPr>
                <w:rFonts w:hint="eastAsia" w:ascii="仿宋" w:hAnsi="仿宋" w:eastAsia="仿宋"/>
                <w:color w:val="000000"/>
                <w:sz w:val="18"/>
                <w:szCs w:val="18"/>
              </w:rPr>
              <w:t>2021.5</w:t>
            </w:r>
          </w:p>
        </w:tc>
        <w:tc>
          <w:tcPr>
            <w:tcW w:w="992"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行业应用软件开发服务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34" w:type="dxa"/>
            <w:vAlign w:val="center"/>
          </w:tcPr>
          <w:p>
            <w:pPr>
              <w:jc w:val="right"/>
              <w:rPr>
                <w:rFonts w:ascii="仿宋" w:hAnsi="仿宋" w:eastAsia="仿宋" w:cs="宋体"/>
                <w:color w:val="000000"/>
                <w:sz w:val="18"/>
                <w:szCs w:val="18"/>
              </w:rPr>
            </w:pPr>
            <w:r>
              <w:rPr>
                <w:rFonts w:hint="eastAsia" w:ascii="仿宋" w:hAnsi="仿宋" w:eastAsia="仿宋"/>
                <w:color w:val="000000"/>
                <w:sz w:val="18"/>
                <w:szCs w:val="18"/>
              </w:rPr>
              <w:t>4</w:t>
            </w:r>
          </w:p>
        </w:tc>
        <w:tc>
          <w:tcPr>
            <w:tcW w:w="1275" w:type="dxa"/>
            <w:vAlign w:val="center"/>
          </w:tcPr>
          <w:p>
            <w:pPr>
              <w:rPr>
                <w:rFonts w:ascii="仿宋" w:hAnsi="仿宋" w:eastAsia="仿宋" w:cs="宋体"/>
                <w:sz w:val="18"/>
                <w:szCs w:val="18"/>
              </w:rPr>
            </w:pPr>
            <w:r>
              <w:rPr>
                <w:rFonts w:hint="eastAsia" w:ascii="仿宋" w:hAnsi="仿宋" w:eastAsia="仿宋"/>
                <w:sz w:val="18"/>
                <w:szCs w:val="18"/>
              </w:rPr>
              <w:t>智慧医院与安全管理和护理电子病历功能拓展项目</w:t>
            </w:r>
          </w:p>
        </w:tc>
        <w:tc>
          <w:tcPr>
            <w:tcW w:w="2694" w:type="dxa"/>
            <w:vAlign w:val="center"/>
          </w:tcPr>
          <w:p>
            <w:pPr>
              <w:rPr>
                <w:rFonts w:ascii="仿宋" w:hAnsi="仿宋" w:eastAsia="仿宋" w:cs="宋体"/>
                <w:sz w:val="18"/>
                <w:szCs w:val="18"/>
              </w:rPr>
            </w:pPr>
            <w:r>
              <w:rPr>
                <w:rFonts w:hint="eastAsia" w:ascii="仿宋" w:hAnsi="仿宋" w:eastAsia="仿宋" w:cs="宋体"/>
                <w:sz w:val="18"/>
                <w:szCs w:val="18"/>
              </w:rPr>
              <w:t>护理部分基于病情评估、患者全息视图，针对内镜患者数据，通过可视化检索界面，搜索符合指标病历以及护理PDA的优化升级。质控部分新增科主任目标考核管理模块，按照2020年科主任目标考核方案实现指标数据采集、统计、展示、分析，提升数据应用。还新增了PDA进行院科二级质控管理信息化传递。</w:t>
            </w:r>
          </w:p>
        </w:tc>
        <w:tc>
          <w:tcPr>
            <w:tcW w:w="1559" w:type="dxa"/>
            <w:vAlign w:val="center"/>
          </w:tcPr>
          <w:p>
            <w:pPr>
              <w:jc w:val="right"/>
              <w:rPr>
                <w:rFonts w:ascii="仿宋" w:hAnsi="仿宋" w:eastAsia="仿宋" w:cs="宋体"/>
                <w:sz w:val="18"/>
                <w:szCs w:val="18"/>
              </w:rPr>
            </w:pPr>
            <w:r>
              <w:rPr>
                <w:rFonts w:hint="eastAsia" w:ascii="仿宋" w:hAnsi="仿宋" w:eastAsia="仿宋"/>
                <w:sz w:val="18"/>
                <w:szCs w:val="18"/>
              </w:rPr>
              <w:t xml:space="preserve">170 </w:t>
            </w:r>
          </w:p>
        </w:tc>
        <w:tc>
          <w:tcPr>
            <w:tcW w:w="1701" w:type="dxa"/>
            <w:vAlign w:val="center"/>
          </w:tcPr>
          <w:p>
            <w:pPr>
              <w:jc w:val="right"/>
              <w:rPr>
                <w:rFonts w:ascii="仿宋" w:hAnsi="仿宋" w:eastAsia="仿宋" w:cs="宋体"/>
                <w:color w:val="000000"/>
                <w:sz w:val="18"/>
                <w:szCs w:val="18"/>
              </w:rPr>
            </w:pPr>
            <w:r>
              <w:rPr>
                <w:rFonts w:hint="eastAsia" w:ascii="仿宋" w:hAnsi="仿宋" w:eastAsia="仿宋"/>
                <w:color w:val="000000"/>
                <w:sz w:val="18"/>
                <w:szCs w:val="18"/>
              </w:rPr>
              <w:t>2021.5</w:t>
            </w:r>
          </w:p>
        </w:tc>
        <w:tc>
          <w:tcPr>
            <w:tcW w:w="992" w:type="dxa"/>
            <w:vAlign w:val="center"/>
          </w:tcPr>
          <w:p>
            <w:pPr>
              <w:jc w:val="center"/>
              <w:rPr>
                <w:rFonts w:ascii="仿宋" w:hAnsi="仿宋" w:eastAsia="仿宋" w:cs="宋体"/>
                <w:color w:val="000000"/>
                <w:sz w:val="18"/>
                <w:szCs w:val="18"/>
              </w:rPr>
            </w:pPr>
            <w:r>
              <w:rPr>
                <w:rFonts w:hint="eastAsia" w:ascii="仿宋" w:hAnsi="仿宋" w:eastAsia="仿宋"/>
                <w:color w:val="000000"/>
                <w:sz w:val="18"/>
                <w:szCs w:val="18"/>
              </w:rPr>
              <w:t>行业应用软件开发服务</w:t>
            </w:r>
          </w:p>
        </w:tc>
      </w:tr>
    </w:tbl>
    <w:p>
      <w:pPr>
        <w:tabs>
          <w:tab w:val="left" w:pos="993"/>
          <w:tab w:val="left" w:pos="1134"/>
          <w:tab w:val="left" w:pos="1418"/>
        </w:tabs>
        <w:spacing w:line="6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本次公开的采购意向是本单位政府采购工作的初步安排，具体采购项目情况以相关采购公告和采购文件为准。</w:t>
      </w:r>
    </w:p>
    <w:p>
      <w:pPr>
        <w:tabs>
          <w:tab w:val="left" w:pos="993"/>
          <w:tab w:val="left" w:pos="1134"/>
          <w:tab w:val="left" w:pos="1418"/>
        </w:tabs>
        <w:spacing w:line="600" w:lineRule="exact"/>
        <w:ind w:firstLine="960" w:firstLineChars="300"/>
        <w:jc w:val="righ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 xml:space="preserve">                                                              厦门大学附属第一医院</w:t>
      </w:r>
      <w:r>
        <w:rPr>
          <w:rFonts w:hint="eastAsia" w:ascii="仿宋_GB2312" w:hAnsi="仿宋_GB2312" w:eastAsia="仿宋_GB2312" w:cs="仿宋_GB2312"/>
          <w:sz w:val="32"/>
          <w:szCs w:val="32"/>
          <w:lang w:eastAsia="zh-CN"/>
        </w:rPr>
        <w:t>设备物资部</w:t>
      </w:r>
    </w:p>
    <w:p>
      <w:pPr>
        <w:tabs>
          <w:tab w:val="left" w:pos="993"/>
          <w:tab w:val="left" w:pos="1134"/>
          <w:tab w:val="left" w:pos="1418"/>
        </w:tabs>
        <w:spacing w:line="600" w:lineRule="exact"/>
        <w:ind w:right="480" w:firstLine="960" w:firstLineChars="300"/>
        <w:jc w:val="center"/>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bookmarkStart w:id="0" w:name="_GoBack"/>
      <w:bookmarkEnd w:id="0"/>
      <w:r>
        <w:rPr>
          <w:rFonts w:hint="eastAsia" w:ascii="仿宋_GB2312" w:hAnsi="仿宋_GB2312" w:eastAsia="仿宋_GB2312" w:cs="仿宋_GB2312"/>
          <w:sz w:val="32"/>
          <w:szCs w:val="32"/>
        </w:rPr>
        <w:t>2021年4月2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 xml:space="preserve">日  </w:t>
      </w:r>
    </w:p>
    <w:sectPr>
      <w:headerReference r:id="rId3" w:type="default"/>
      <w:footerReference r:id="rId4" w:type="default"/>
      <w:pgSz w:w="11906" w:h="16838"/>
      <w:pgMar w:top="1440" w:right="1803" w:bottom="1440" w:left="1803" w:header="851" w:footer="992" w:gutter="0"/>
      <w:cols w:space="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altName w:val="微软雅黑"/>
    <w:panose1 w:val="00000000000000000000"/>
    <w:charset w:val="86"/>
    <w:family w:val="script"/>
    <w:pitch w:val="default"/>
    <w:sig w:usb0="00000000" w:usb1="0000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141757308"/>
      <w:docPartObj>
        <w:docPartGallery w:val="AutoText"/>
      </w:docPartObj>
    </w:sdtPr>
    <w:sdtContent>
      <w:p>
        <w:pPr>
          <w:pStyle w:val="3"/>
          <w:jc w:val="center"/>
        </w:pPr>
        <w:r>
          <w:fldChar w:fldCharType="begin"/>
        </w:r>
        <w:r>
          <w:instrText xml:space="preserve">PAGE   \* MERGEFORMAT</w:instrText>
        </w:r>
        <w:r>
          <w:fldChar w:fldCharType="separate"/>
        </w:r>
        <w:r>
          <w:rPr>
            <w:lang w:val="zh-CN"/>
          </w:rPr>
          <w:t>2</w:t>
        </w:r>
        <w:r>
          <w:fldChar w:fldCharType="end"/>
        </w:r>
      </w:p>
    </w:sdtContent>
  </w:sdt>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rFonts w:hint="eastAsia"/>
      </w:rPr>
      <w:t>2021年政府采购意向信息公示</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185F"/>
    <w:rsid w:val="00185A0E"/>
    <w:rsid w:val="00307979"/>
    <w:rsid w:val="00335C0E"/>
    <w:rsid w:val="0054185F"/>
    <w:rsid w:val="006B097E"/>
    <w:rsid w:val="008B571C"/>
    <w:rsid w:val="00937215"/>
    <w:rsid w:val="00A025C7"/>
    <w:rsid w:val="00AD1314"/>
    <w:rsid w:val="00C63BDD"/>
    <w:rsid w:val="00E435FA"/>
    <w:rsid w:val="0C6B5737"/>
    <w:rsid w:val="0EAF02B5"/>
    <w:rsid w:val="30523320"/>
    <w:rsid w:val="3EE23396"/>
    <w:rsid w:val="4E9F5965"/>
    <w:rsid w:val="5B4B1C53"/>
    <w:rsid w:val="70FC7D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6">
    <w:name w:val="Normal Table"/>
    <w:semiHidden/>
    <w:unhideWhenUsed/>
    <w:uiPriority w:val="99"/>
    <w:tblPr>
      <w:tblLayout w:type="fixed"/>
      <w:tblCellMar>
        <w:top w:w="0" w:type="dxa"/>
        <w:left w:w="108" w:type="dxa"/>
        <w:bottom w:w="0" w:type="dxa"/>
        <w:right w:w="108" w:type="dxa"/>
      </w:tblCellMar>
    </w:tblPr>
  </w:style>
  <w:style w:type="paragraph" w:styleId="2">
    <w:name w:val="Balloon Text"/>
    <w:basedOn w:val="1"/>
    <w:link w:val="10"/>
    <w:qFormat/>
    <w:uiPriority w:val="0"/>
    <w:rPr>
      <w:sz w:val="18"/>
      <w:szCs w:val="18"/>
    </w:rPr>
  </w:style>
  <w:style w:type="paragraph" w:styleId="3">
    <w:name w:val="footer"/>
    <w:basedOn w:val="1"/>
    <w:link w:val="9"/>
    <w:qFormat/>
    <w:uiPriority w:val="99"/>
    <w:pPr>
      <w:tabs>
        <w:tab w:val="center" w:pos="4153"/>
        <w:tab w:val="right" w:pos="8306"/>
      </w:tabs>
      <w:snapToGrid w:val="0"/>
      <w:jc w:val="left"/>
    </w:pPr>
    <w:rPr>
      <w:sz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8">
    <w:name w:val="页眉 Char"/>
    <w:basedOn w:val="5"/>
    <w:link w:val="4"/>
    <w:qFormat/>
    <w:uiPriority w:val="0"/>
    <w:rPr>
      <w:rFonts w:asciiTheme="minorHAnsi" w:hAnsiTheme="minorHAnsi" w:eastAsiaTheme="minorEastAsia" w:cstheme="minorBidi"/>
      <w:kern w:val="2"/>
      <w:sz w:val="18"/>
      <w:szCs w:val="18"/>
    </w:rPr>
  </w:style>
  <w:style w:type="character" w:customStyle="1" w:styleId="9">
    <w:name w:val="页脚 Char"/>
    <w:basedOn w:val="5"/>
    <w:link w:val="3"/>
    <w:qFormat/>
    <w:uiPriority w:val="99"/>
    <w:rPr>
      <w:rFonts w:asciiTheme="minorHAnsi" w:hAnsiTheme="minorHAnsi" w:eastAsiaTheme="minorEastAsia" w:cstheme="minorBidi"/>
      <w:kern w:val="2"/>
      <w:sz w:val="18"/>
      <w:szCs w:val="24"/>
    </w:rPr>
  </w:style>
  <w:style w:type="character" w:customStyle="1" w:styleId="10">
    <w:name w:val="批注框文本 Char"/>
    <w:basedOn w:val="5"/>
    <w:link w:val="2"/>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F8B59DB-FD36-4555-8E10-5D1FCEB7A30D}">
  <ds:schemaRefs/>
</ds:datastoreItem>
</file>

<file path=docProps/app.xml><?xml version="1.0" encoding="utf-8"?>
<Properties xmlns="http://schemas.openxmlformats.org/officeDocument/2006/extended-properties" xmlns:vt="http://schemas.openxmlformats.org/officeDocument/2006/docPropsVTypes">
  <Template>Normal</Template>
  <Pages>2</Pages>
  <Words>177</Words>
  <Characters>1010</Characters>
  <Lines>8</Lines>
  <Paragraphs>2</Paragraphs>
  <TotalTime>2</TotalTime>
  <ScaleCrop>false</ScaleCrop>
  <LinksUpToDate>false</LinksUpToDate>
  <CharactersWithSpaces>1185</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2021-04-21T04:06:00Z</dcterms:created>
  <dc:creator>may</dc:creator>
  <cp:lastModifiedBy>Administrator</cp:lastModifiedBy>
  <cp:lastPrinted>2021-04-21T04:06:00Z</cp:lastPrinted>
  <dcterms:modified xsi:type="dcterms:W3CDTF">2021-04-25T02:49:46Z</dcterms:modified>
  <dc:title>附：政府采购意向公开参考文本</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